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7D1E07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44497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7D1E07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CB65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yq8g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czyq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>
        <w:t>9. října 2018</w:t>
      </w:r>
    </w:p>
    <w:p w:rsidR="009B5D3E" w:rsidRDefault="00B62ABE" w:rsidP="009B5D3E">
      <w:pPr>
        <w:spacing w:line="360" w:lineRule="auto"/>
        <w:rPr>
          <w:b/>
          <w:color w:val="212121"/>
          <w:sz w:val="28"/>
          <w:shd w:val="clear" w:color="auto" w:fill="FFFFFF"/>
        </w:rPr>
      </w:pPr>
      <w:r>
        <w:rPr>
          <w:b/>
          <w:color w:val="212121"/>
          <w:sz w:val="28"/>
          <w:shd w:val="clear" w:color="auto" w:fill="FFFFFF"/>
        </w:rPr>
        <w:t xml:space="preserve">Komentář Paula </w:t>
      </w:r>
      <w:proofErr w:type="spellStart"/>
      <w:r>
        <w:rPr>
          <w:b/>
          <w:color w:val="212121"/>
          <w:sz w:val="28"/>
          <w:shd w:val="clear" w:color="auto" w:fill="FFFFFF"/>
        </w:rPr>
        <w:t>Greera</w:t>
      </w:r>
      <w:proofErr w:type="spellEnd"/>
      <w:r>
        <w:rPr>
          <w:b/>
          <w:color w:val="212121"/>
          <w:sz w:val="28"/>
          <w:shd w:val="clear" w:color="auto" w:fill="FFFFFF"/>
        </w:rPr>
        <w:t>: V</w:t>
      </w:r>
      <w:bookmarkStart w:id="0" w:name="_GoBack"/>
      <w:bookmarkEnd w:id="0"/>
      <w:r w:rsidRPr="009B5D3E">
        <w:rPr>
          <w:b/>
          <w:color w:val="212121"/>
          <w:sz w:val="28"/>
          <w:shd w:val="clear" w:color="auto" w:fill="FFFFFF"/>
        </w:rPr>
        <w:t xml:space="preserve">ítězství brazilské pravice je pro trhy pozitivní, nyní záleží i na fiskální reformě </w:t>
      </w:r>
    </w:p>
    <w:p w:rsidR="007D1E07" w:rsidRPr="009B5D3E" w:rsidRDefault="009B5D3E" w:rsidP="009B5D3E">
      <w:pPr>
        <w:spacing w:line="360" w:lineRule="auto"/>
        <w:rPr>
          <w:b/>
          <w:color w:val="212121"/>
          <w:sz w:val="22"/>
          <w:shd w:val="clear" w:color="auto" w:fill="FFFFFF"/>
        </w:rPr>
      </w:pPr>
      <w:r w:rsidRPr="009B5D3E">
        <w:rPr>
          <w:b/>
          <w:color w:val="212121"/>
          <w:sz w:val="22"/>
          <w:shd w:val="clear" w:color="auto" w:fill="FFFFFF"/>
        </w:rPr>
        <w:t xml:space="preserve">Paul </w:t>
      </w:r>
      <w:proofErr w:type="spellStart"/>
      <w:r w:rsidRPr="009B5D3E">
        <w:rPr>
          <w:b/>
          <w:color w:val="212121"/>
          <w:sz w:val="22"/>
          <w:shd w:val="clear" w:color="auto" w:fill="FFFFFF"/>
        </w:rPr>
        <w:t>Greer</w:t>
      </w:r>
      <w:proofErr w:type="spellEnd"/>
      <w:r w:rsidRPr="009B5D3E">
        <w:rPr>
          <w:b/>
          <w:color w:val="212121"/>
          <w:sz w:val="22"/>
          <w:shd w:val="clear" w:color="auto" w:fill="FFFFFF"/>
        </w:rPr>
        <w:t xml:space="preserve">, portfolio manažer </w:t>
      </w:r>
      <w:proofErr w:type="spellStart"/>
      <w:r w:rsidRPr="009B5D3E">
        <w:rPr>
          <w:b/>
          <w:color w:val="212121"/>
          <w:sz w:val="22"/>
          <w:shd w:val="clear" w:color="auto" w:fill="FFFFFF"/>
        </w:rPr>
        <w:t>Fidelity</w:t>
      </w:r>
      <w:proofErr w:type="spellEnd"/>
      <w:r w:rsidRPr="009B5D3E">
        <w:rPr>
          <w:b/>
          <w:color w:val="212121"/>
          <w:sz w:val="22"/>
          <w:shd w:val="clear" w:color="auto" w:fill="FFFFFF"/>
        </w:rPr>
        <w:t xml:space="preserve"> International:</w:t>
      </w:r>
      <w:r w:rsidR="007D1E07" w:rsidRPr="009B5D3E">
        <w:rPr>
          <w:b/>
          <w:color w:val="212121"/>
          <w:sz w:val="22"/>
          <w:shd w:val="clear" w:color="auto" w:fill="FFFFFF"/>
        </w:rPr>
        <w:t xml:space="preserve"> </w:t>
      </w:r>
    </w:p>
    <w:p w:rsidR="009B5D3E" w:rsidRPr="009B5D3E" w:rsidRDefault="009B5D3E" w:rsidP="009B5D3E">
      <w:pPr>
        <w:pStyle w:val="F2-zkladn"/>
        <w:tabs>
          <w:tab w:val="right" w:pos="9070"/>
        </w:tabs>
        <w:spacing w:line="360" w:lineRule="auto"/>
        <w:rPr>
          <w:sz w:val="22"/>
        </w:rPr>
      </w:pPr>
      <w:proofErr w:type="spellStart"/>
      <w:r w:rsidRPr="009B5D3E">
        <w:rPr>
          <w:sz w:val="22"/>
        </w:rPr>
        <w:t>Jair</w:t>
      </w:r>
      <w:proofErr w:type="spellEnd"/>
      <w:r w:rsidRPr="009B5D3E">
        <w:rPr>
          <w:sz w:val="22"/>
        </w:rPr>
        <w:t xml:space="preserve"> </w:t>
      </w:r>
      <w:proofErr w:type="spellStart"/>
      <w:r w:rsidRPr="009B5D3E">
        <w:rPr>
          <w:sz w:val="22"/>
        </w:rPr>
        <w:t>Bolsonaro</w:t>
      </w:r>
      <w:proofErr w:type="spellEnd"/>
      <w:r w:rsidRPr="009B5D3E">
        <w:rPr>
          <w:sz w:val="22"/>
        </w:rPr>
        <w:t xml:space="preserve"> vyhrál prezidentské volby v Brazílii nad levicovým kandidátem Fernando </w:t>
      </w:r>
      <w:proofErr w:type="spellStart"/>
      <w:r w:rsidRPr="009B5D3E">
        <w:rPr>
          <w:sz w:val="22"/>
        </w:rPr>
        <w:t>Haddadem</w:t>
      </w:r>
      <w:proofErr w:type="spellEnd"/>
      <w:r w:rsidRPr="009B5D3E">
        <w:rPr>
          <w:sz w:val="22"/>
        </w:rPr>
        <w:t xml:space="preserve">. Výsledek tak byl v souladu s očekáváními, která v posledních třech týdnech naznačovala jeho velké vítězství. Brazilská riziková aktiva zaznamenala v posledních dvou měsících značné zotavení, neboť trh byl znatelně spokojenější s předpokladem vítězství </w:t>
      </w:r>
      <w:proofErr w:type="spellStart"/>
      <w:r w:rsidRPr="009B5D3E">
        <w:rPr>
          <w:sz w:val="22"/>
        </w:rPr>
        <w:t>Bolsonara</w:t>
      </w:r>
      <w:proofErr w:type="spellEnd"/>
      <w:r w:rsidRPr="009B5D3E">
        <w:rPr>
          <w:sz w:val="22"/>
        </w:rPr>
        <w:t xml:space="preserve">, než s návratem Strany pracujících reprezentované </w:t>
      </w:r>
      <w:proofErr w:type="spellStart"/>
      <w:r w:rsidRPr="009B5D3E">
        <w:rPr>
          <w:sz w:val="22"/>
        </w:rPr>
        <w:t>Haddadem</w:t>
      </w:r>
      <w:proofErr w:type="spellEnd"/>
      <w:r w:rsidRPr="009B5D3E">
        <w:rPr>
          <w:sz w:val="22"/>
        </w:rPr>
        <w:t xml:space="preserve"> k moci. To je, vzhledem k nedávné historii Brazílie s prezidentem </w:t>
      </w:r>
      <w:proofErr w:type="spellStart"/>
      <w:r w:rsidRPr="009B5D3E">
        <w:rPr>
          <w:sz w:val="22"/>
        </w:rPr>
        <w:t>Dilmou</w:t>
      </w:r>
      <w:proofErr w:type="spellEnd"/>
      <w:r w:rsidRPr="009B5D3E">
        <w:rPr>
          <w:sz w:val="22"/>
        </w:rPr>
        <w:t>, k nadměrnému uvolňování aktiv a korupčnímu skand</w:t>
      </w:r>
      <w:r w:rsidRPr="009B5D3E">
        <w:rPr>
          <w:sz w:val="22"/>
        </w:rPr>
        <w:t xml:space="preserve">álu </w:t>
      </w:r>
      <w:proofErr w:type="spellStart"/>
      <w:r w:rsidRPr="009B5D3E">
        <w:rPr>
          <w:sz w:val="22"/>
        </w:rPr>
        <w:t>Lava</w:t>
      </w:r>
      <w:proofErr w:type="spellEnd"/>
      <w:r w:rsidRPr="009B5D3E">
        <w:rPr>
          <w:sz w:val="22"/>
        </w:rPr>
        <w:t xml:space="preserve"> Jato, pochopitelné.   </w:t>
      </w:r>
    </w:p>
    <w:p w:rsidR="009B5D3E" w:rsidRPr="009B5D3E" w:rsidRDefault="009B5D3E" w:rsidP="009B5D3E">
      <w:pPr>
        <w:pStyle w:val="F2-zkladn"/>
        <w:tabs>
          <w:tab w:val="right" w:pos="9070"/>
        </w:tabs>
        <w:spacing w:line="360" w:lineRule="auto"/>
        <w:rPr>
          <w:sz w:val="22"/>
        </w:rPr>
      </w:pPr>
      <w:proofErr w:type="spellStart"/>
      <w:r w:rsidRPr="009B5D3E">
        <w:rPr>
          <w:sz w:val="22"/>
        </w:rPr>
        <w:t>Bolsonarův</w:t>
      </w:r>
      <w:proofErr w:type="spellEnd"/>
      <w:r w:rsidRPr="009B5D3E">
        <w:rPr>
          <w:sz w:val="22"/>
        </w:rPr>
        <w:t xml:space="preserve"> projev, následující po jeho vítězství, byl pro trh pozitivní. Nový prezident nastínil program zaměřený na sjednocení země, potírání korupce a na tolik potřebnou fiskální reformu. Je to povzbudivé, a proto nedávné zotavení brazilských rizikových aktiv bude pravděpodobně pokračovat i v blízké budoucnosti. Dalšími klíčovými milníky bude jmenování </w:t>
      </w:r>
      <w:proofErr w:type="spellStart"/>
      <w:r w:rsidRPr="009B5D3E">
        <w:rPr>
          <w:sz w:val="22"/>
        </w:rPr>
        <w:t>Bolsonarova</w:t>
      </w:r>
      <w:proofErr w:type="spellEnd"/>
      <w:r w:rsidRPr="009B5D3E">
        <w:rPr>
          <w:sz w:val="22"/>
        </w:rPr>
        <w:t xml:space="preserve"> kabinetu, kdo bude předsedou dolní komory parlamentu a kdo bude příštím guvernérem brazilské centrální banky, pokud nebude stávající znovu jmenován. Současný předseda dolní komory parlamentu, </w:t>
      </w:r>
      <w:proofErr w:type="spellStart"/>
      <w:r w:rsidRPr="009B5D3E">
        <w:rPr>
          <w:sz w:val="22"/>
        </w:rPr>
        <w:t>Rodrigo</w:t>
      </w:r>
      <w:proofErr w:type="spellEnd"/>
      <w:r w:rsidRPr="009B5D3E">
        <w:rPr>
          <w:sz w:val="22"/>
        </w:rPr>
        <w:t xml:space="preserve"> </w:t>
      </w:r>
      <w:proofErr w:type="spellStart"/>
      <w:r w:rsidRPr="009B5D3E">
        <w:rPr>
          <w:sz w:val="22"/>
        </w:rPr>
        <w:t>Maia</w:t>
      </w:r>
      <w:proofErr w:type="spellEnd"/>
      <w:r w:rsidRPr="009B5D3E">
        <w:rPr>
          <w:sz w:val="22"/>
        </w:rPr>
        <w:t xml:space="preserve">, je jedním z mála kandidátů, který by mohl přesvědčit všechny strany k jednotnému hlasování za fiskální reformu. Bude také důležité sledovat vedení velkých státem vlastněných společností, jako jsou </w:t>
      </w:r>
      <w:proofErr w:type="spellStart"/>
      <w:r w:rsidRPr="009B5D3E">
        <w:rPr>
          <w:sz w:val="22"/>
        </w:rPr>
        <w:t>Petrobras</w:t>
      </w:r>
      <w:proofErr w:type="spellEnd"/>
      <w:r w:rsidRPr="009B5D3E">
        <w:rPr>
          <w:sz w:val="22"/>
        </w:rPr>
        <w:t xml:space="preserve"> a </w:t>
      </w:r>
      <w:proofErr w:type="spellStart"/>
      <w:r w:rsidRPr="009B5D3E">
        <w:rPr>
          <w:sz w:val="22"/>
        </w:rPr>
        <w:t>Electrobras</w:t>
      </w:r>
      <w:proofErr w:type="spellEnd"/>
      <w:r w:rsidRPr="009B5D3E">
        <w:rPr>
          <w:sz w:val="22"/>
        </w:rPr>
        <w:t xml:space="preserve">, a plány prezidenta </w:t>
      </w:r>
      <w:proofErr w:type="spellStart"/>
      <w:r w:rsidRPr="009B5D3E">
        <w:rPr>
          <w:sz w:val="22"/>
        </w:rPr>
        <w:t>Bolsonara</w:t>
      </w:r>
      <w:proofErr w:type="spellEnd"/>
      <w:r w:rsidRPr="009B5D3E">
        <w:rPr>
          <w:sz w:val="22"/>
        </w:rPr>
        <w:t xml:space="preserve"> </w:t>
      </w:r>
      <w:r w:rsidRPr="009B5D3E">
        <w:rPr>
          <w:sz w:val="22"/>
        </w:rPr>
        <w:t xml:space="preserve">privatizovat státní majetek.   </w:t>
      </w:r>
    </w:p>
    <w:p w:rsidR="009B5D3E" w:rsidRPr="009B5D3E" w:rsidRDefault="009B5D3E" w:rsidP="009B5D3E">
      <w:pPr>
        <w:pStyle w:val="F2-zkladn"/>
        <w:tabs>
          <w:tab w:val="right" w:pos="9070"/>
        </w:tabs>
        <w:spacing w:line="360" w:lineRule="auto"/>
        <w:rPr>
          <w:sz w:val="22"/>
        </w:rPr>
      </w:pPr>
      <w:r w:rsidRPr="009B5D3E">
        <w:rPr>
          <w:sz w:val="22"/>
        </w:rPr>
        <w:t xml:space="preserve">Ve střednědobém horizontu stále zaujímáme s ohledem na brazilské fundamenty medvědí postoj a zůstáváme znepokojeni fiskální bilancí Brazílie. Nevěříme moc, že proběhnou smysluplné fiskální reformy, zejména v oblasti důchodů, sociálního zabezpečení a daní, což je ale to, co Brazílie potřebuje, aby v roce 2019 zabránila snížení ratingů od úvěrových agentur. V </w:t>
      </w:r>
      <w:proofErr w:type="spellStart"/>
      <w:r w:rsidRPr="009B5D3E">
        <w:rPr>
          <w:sz w:val="22"/>
        </w:rPr>
        <w:t>Bolsonarově</w:t>
      </w:r>
      <w:proofErr w:type="spellEnd"/>
      <w:r w:rsidRPr="009B5D3E">
        <w:rPr>
          <w:sz w:val="22"/>
        </w:rPr>
        <w:t xml:space="preserve"> agendě cítíme jistou kontroverzi a rozpor. Navíc je v parlamentu mnoho odpůrců, což možná neumožní schválení všech návrhů. Očekáváme, že Brazílie si udrží </w:t>
      </w:r>
      <w:r w:rsidRPr="009B5D3E">
        <w:rPr>
          <w:sz w:val="22"/>
        </w:rPr>
        <w:lastRenderedPageBreak/>
        <w:t xml:space="preserve">současný růst, který je ovšem pod potenciálem země, a že v roce 2019 i nadále poroste inflace. To bude znamenat i zvyšování úrokových sazeb centrální bankou. </w:t>
      </w:r>
    </w:p>
    <w:p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CD0EF0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</w:t>
      </w:r>
      <w:proofErr w:type="gramStart"/>
      <w:r w:rsidRPr="00FA269B">
        <w:rPr>
          <w:sz w:val="18"/>
          <w:szCs w:val="18"/>
        </w:rPr>
        <w:t>S.A.</w:t>
      </w:r>
      <w:proofErr w:type="gram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752D79" w:rsidRDefault="00752D79" w:rsidP="00752D79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752D79" w:rsidRPr="00681745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752D79" w:rsidRPr="00681745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752D79" w:rsidRPr="00681745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</w:t>
      </w:r>
      <w:r w:rsidRPr="00681745">
        <w:rPr>
          <w:color w:val="000000"/>
          <w:sz w:val="18"/>
          <w:szCs w:val="18"/>
          <w:lang w:val="en-US"/>
        </w:rPr>
        <w:lastRenderedPageBreak/>
        <w:t xml:space="preserve">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752D79" w:rsidRPr="00681745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752D79" w:rsidRPr="00681745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Vienna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de Berri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PostalCode">
            <w:r w:rsidRPr="00681745">
              <w:rPr>
                <w:color w:val="000000"/>
                <w:sz w:val="18"/>
                <w:szCs w:val="18"/>
                <w:lang w:val="en-US"/>
              </w:rPr>
              <w:t>75008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City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proofErr w:type="gram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proofErr w:type="gram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752D79" w:rsidRPr="00681745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645857" w:rsidRPr="00752D79" w:rsidRDefault="00752D79" w:rsidP="00752D79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752D79" w:rsidSect="009B5D3E">
      <w:headerReference w:type="default" r:id="rId10"/>
      <w:footerReference w:type="default" r:id="rId11"/>
      <w:headerReference w:type="first" r:id="rId12"/>
      <w:pgSz w:w="11906" w:h="16838" w:code="9"/>
      <w:pgMar w:top="1418" w:right="1418" w:bottom="1134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F0" w:rsidRDefault="00CD0EF0">
      <w:r>
        <w:separator/>
      </w:r>
    </w:p>
  </w:endnote>
  <w:endnote w:type="continuationSeparator" w:id="0">
    <w:p w:rsidR="00CD0EF0" w:rsidRDefault="00CD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F0" w:rsidRDefault="00CD0EF0">
      <w:r>
        <w:separator/>
      </w:r>
    </w:p>
  </w:footnote>
  <w:footnote w:type="continuationSeparator" w:id="0">
    <w:p w:rsidR="00CD0EF0" w:rsidRDefault="00CD0EF0">
      <w:r>
        <w:continuationSeparator/>
      </w:r>
    </w:p>
  </w:footnote>
  <w:footnote w:type="continuationNotice" w:id="1">
    <w:p w:rsidR="00CD0EF0" w:rsidRDefault="00CD0E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7D1E0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67AED974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DBC80A0C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D764A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A5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6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C0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21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A4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9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97BA68C6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14988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E2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2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23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47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09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4F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ED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5E6B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2D79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1E07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36DCF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A48DD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5D3E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3EB9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2ABE"/>
    <w:rsid w:val="00B63B5B"/>
    <w:rsid w:val="00B64E9D"/>
    <w:rsid w:val="00B678D4"/>
    <w:rsid w:val="00B745DF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0EF0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DF365-28DA-4BD8-ABDF-BEFF3C14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uiPriority w:val="99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F0E6-747A-4D89-B624-7E6EB964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8333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2015-11-30T16:29:00Z</cp:lastPrinted>
  <dcterms:created xsi:type="dcterms:W3CDTF">2018-10-29T15:12:00Z</dcterms:created>
  <dcterms:modified xsi:type="dcterms:W3CDTF">2018-10-29T15:22:00Z</dcterms:modified>
</cp:coreProperties>
</file>